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07F4F" w14:textId="77777777" w:rsidR="00423CD5" w:rsidRDefault="00423CD5" w:rsidP="00423CD5">
      <w:pPr>
        <w:widowControl w:val="0"/>
        <w:autoSpaceDE w:val="0"/>
        <w:autoSpaceDN w:val="0"/>
        <w:adjustRightInd w:val="0"/>
        <w:spacing w:after="0" w:line="240" w:lineRule="auto"/>
        <w:rPr>
          <w:rFonts w:ascii="Times New Roman" w:hAnsi="Times New Roman"/>
          <w:sz w:val="3"/>
          <w:szCs w:val="3"/>
        </w:rPr>
      </w:pPr>
    </w:p>
    <w:p w14:paraId="17E0DF28" w14:textId="77777777" w:rsidR="00423CD5" w:rsidRDefault="00423CD5" w:rsidP="00423CD5">
      <w:pPr>
        <w:widowControl w:val="0"/>
        <w:tabs>
          <w:tab w:val="center" w:pos="4819"/>
          <w:tab w:val="right" w:pos="9582"/>
        </w:tabs>
        <w:autoSpaceDE w:val="0"/>
        <w:autoSpaceDN w:val="0"/>
        <w:adjustRightInd w:val="0"/>
        <w:spacing w:after="0" w:line="240" w:lineRule="auto"/>
        <w:rPr>
          <w:rFonts w:ascii="Arial" w:hAnsi="Arial" w:cs="Arial"/>
          <w:b/>
          <w:bCs/>
          <w:color w:val="000000"/>
        </w:rPr>
      </w:pPr>
      <w:r>
        <w:rPr>
          <w:rFonts w:ascii="Times New Roman" w:hAnsi="Times New Roman"/>
          <w:sz w:val="24"/>
          <w:szCs w:val="24"/>
        </w:rPr>
        <w:tab/>
      </w:r>
      <w:r>
        <w:rPr>
          <w:rFonts w:ascii="Arial" w:hAnsi="Arial" w:cs="Arial"/>
          <w:b/>
          <w:bCs/>
          <w:color w:val="008000"/>
          <w:sz w:val="24"/>
          <w:szCs w:val="24"/>
          <w:u w:val="single"/>
        </w:rPr>
        <w:t>Université PANTHÉON - ASSAS (PARIS II)</w:t>
      </w:r>
      <w:r>
        <w:rPr>
          <w:rFonts w:ascii="Times New Roman" w:hAnsi="Times New Roman"/>
          <w:sz w:val="24"/>
          <w:szCs w:val="24"/>
        </w:rPr>
        <w:tab/>
      </w:r>
    </w:p>
    <w:p w14:paraId="28DDB2E9" w14:textId="77777777" w:rsidR="00423CD5" w:rsidRDefault="00423CD5" w:rsidP="00423CD5">
      <w:pPr>
        <w:widowControl w:val="0"/>
        <w:autoSpaceDE w:val="0"/>
        <w:autoSpaceDN w:val="0"/>
        <w:adjustRightInd w:val="0"/>
        <w:spacing w:after="0" w:line="240" w:lineRule="auto"/>
        <w:rPr>
          <w:rFonts w:ascii="Arial" w:hAnsi="Arial" w:cs="Arial"/>
          <w:b/>
          <w:bCs/>
          <w:color w:val="000000"/>
          <w:sz w:val="20"/>
          <w:szCs w:val="20"/>
        </w:rPr>
      </w:pPr>
    </w:p>
    <w:p w14:paraId="5C256305" w14:textId="77777777" w:rsidR="00423CD5" w:rsidRDefault="00423CD5" w:rsidP="00423CD5">
      <w:pPr>
        <w:widowControl w:val="0"/>
        <w:autoSpaceDE w:val="0"/>
        <w:autoSpaceDN w:val="0"/>
        <w:adjustRightInd w:val="0"/>
        <w:spacing w:after="0" w:line="240" w:lineRule="auto"/>
        <w:rPr>
          <w:rFonts w:ascii="Arial" w:hAnsi="Arial" w:cs="Arial"/>
          <w:b/>
          <w:bCs/>
          <w:color w:val="000000"/>
          <w:sz w:val="8"/>
          <w:szCs w:val="8"/>
        </w:rPr>
      </w:pPr>
    </w:p>
    <w:p w14:paraId="21549082" w14:textId="77777777" w:rsidR="00423CD5" w:rsidRDefault="00423CD5" w:rsidP="00423CD5">
      <w:pPr>
        <w:widowControl w:val="0"/>
        <w:tabs>
          <w:tab w:val="center" w:pos="4821"/>
          <w:tab w:val="right" w:pos="9582"/>
        </w:tabs>
        <w:autoSpaceDE w:val="0"/>
        <w:autoSpaceDN w:val="0"/>
        <w:adjustRightInd w:val="0"/>
        <w:spacing w:after="0" w:line="240" w:lineRule="auto"/>
        <w:rPr>
          <w:rFonts w:ascii="Arial" w:hAnsi="Arial" w:cs="Arial"/>
          <w:b/>
          <w:bCs/>
          <w:color w:val="000000"/>
        </w:rPr>
      </w:pPr>
      <w:r>
        <w:rPr>
          <w:rFonts w:ascii="Times New Roman" w:hAnsi="Times New Roman"/>
          <w:sz w:val="24"/>
          <w:szCs w:val="24"/>
        </w:rPr>
        <w:tab/>
      </w:r>
      <w:r>
        <w:rPr>
          <w:rFonts w:ascii="Arial" w:hAnsi="Arial" w:cs="Arial"/>
          <w:b/>
          <w:bCs/>
          <w:color w:val="800000"/>
          <w:sz w:val="24"/>
          <w:szCs w:val="24"/>
          <w:u w:val="single"/>
        </w:rPr>
        <w:t xml:space="preserve">Droit - </w:t>
      </w:r>
      <w:proofErr w:type="spellStart"/>
      <w:r>
        <w:rPr>
          <w:rFonts w:ascii="Arial" w:hAnsi="Arial" w:cs="Arial"/>
          <w:b/>
          <w:bCs/>
          <w:color w:val="800000"/>
          <w:sz w:val="24"/>
          <w:szCs w:val="24"/>
          <w:u w:val="single"/>
        </w:rPr>
        <w:t>Economie</w:t>
      </w:r>
      <w:proofErr w:type="spellEnd"/>
      <w:r>
        <w:rPr>
          <w:rFonts w:ascii="Arial" w:hAnsi="Arial" w:cs="Arial"/>
          <w:b/>
          <w:bCs/>
          <w:color w:val="800000"/>
          <w:sz w:val="24"/>
          <w:szCs w:val="24"/>
          <w:u w:val="single"/>
        </w:rPr>
        <w:t xml:space="preserve"> - Sciences Sociales</w:t>
      </w:r>
      <w:r>
        <w:rPr>
          <w:rFonts w:ascii="Times New Roman" w:hAnsi="Times New Roman"/>
          <w:sz w:val="24"/>
          <w:szCs w:val="24"/>
        </w:rPr>
        <w:tab/>
      </w:r>
    </w:p>
    <w:p w14:paraId="44388EF6" w14:textId="77777777" w:rsidR="00423CD5" w:rsidRDefault="00423CD5" w:rsidP="00423CD5">
      <w:pPr>
        <w:widowControl w:val="0"/>
        <w:autoSpaceDE w:val="0"/>
        <w:autoSpaceDN w:val="0"/>
        <w:adjustRightInd w:val="0"/>
        <w:spacing w:after="0" w:line="240" w:lineRule="auto"/>
        <w:rPr>
          <w:rFonts w:ascii="Arial" w:hAnsi="Arial" w:cs="Arial"/>
          <w:b/>
          <w:bCs/>
          <w:color w:val="000000"/>
          <w:sz w:val="20"/>
          <w:szCs w:val="20"/>
        </w:rPr>
      </w:pPr>
    </w:p>
    <w:p w14:paraId="48D15500" w14:textId="77777777" w:rsidR="00423CD5" w:rsidRDefault="00423CD5" w:rsidP="00423CD5">
      <w:pPr>
        <w:widowControl w:val="0"/>
        <w:autoSpaceDE w:val="0"/>
        <w:autoSpaceDN w:val="0"/>
        <w:adjustRightInd w:val="0"/>
        <w:spacing w:after="0" w:line="240" w:lineRule="auto"/>
        <w:rPr>
          <w:rFonts w:ascii="Arial" w:hAnsi="Arial" w:cs="Arial"/>
          <w:b/>
          <w:bCs/>
          <w:color w:val="000000"/>
          <w:sz w:val="15"/>
          <w:szCs w:val="15"/>
        </w:rPr>
      </w:pPr>
    </w:p>
    <w:p w14:paraId="21B6AE7A"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7850511D"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3C44BAB9" w14:textId="77777777" w:rsidR="00423CD5" w:rsidRDefault="00423CD5" w:rsidP="00423CD5">
      <w:pPr>
        <w:widowControl w:val="0"/>
        <w:autoSpaceDE w:val="0"/>
        <w:autoSpaceDN w:val="0"/>
        <w:adjustRightInd w:val="0"/>
        <w:spacing w:after="0" w:line="240" w:lineRule="auto"/>
        <w:rPr>
          <w:rFonts w:ascii="Arial" w:hAnsi="Arial" w:cs="Arial"/>
          <w:color w:val="000000"/>
          <w:sz w:val="6"/>
          <w:szCs w:val="6"/>
        </w:rPr>
      </w:pPr>
    </w:p>
    <w:p w14:paraId="33BC2858" w14:textId="77777777" w:rsidR="00423CD5" w:rsidRDefault="00423CD5" w:rsidP="00423CD5">
      <w:pPr>
        <w:widowControl w:val="0"/>
        <w:tabs>
          <w:tab w:val="left" w:pos="56"/>
          <w:tab w:val="left" w:pos="2688"/>
        </w:tabs>
        <w:autoSpaceDE w:val="0"/>
        <w:autoSpaceDN w:val="0"/>
        <w:adjustRightInd w:val="0"/>
        <w:spacing w:after="0" w:line="240" w:lineRule="auto"/>
        <w:rPr>
          <w:rFonts w:ascii="Arial" w:hAnsi="Arial" w:cs="Arial"/>
          <w:color w:val="000000"/>
        </w:rPr>
      </w:pPr>
      <w:r>
        <w:rPr>
          <w:rFonts w:ascii="Times New Roman" w:hAnsi="Times New Roman"/>
          <w:sz w:val="24"/>
          <w:szCs w:val="24"/>
        </w:rPr>
        <w:tab/>
      </w:r>
      <w:r>
        <w:rPr>
          <w:rFonts w:ascii="Arial" w:hAnsi="Arial" w:cs="Arial"/>
          <w:b/>
          <w:bCs/>
          <w:color w:val="000000"/>
        </w:rPr>
        <w:t xml:space="preserve">Session : </w:t>
      </w:r>
      <w:r>
        <w:rPr>
          <w:rFonts w:ascii="Times New Roman" w:hAnsi="Times New Roman"/>
          <w:sz w:val="24"/>
          <w:szCs w:val="24"/>
        </w:rPr>
        <w:tab/>
      </w:r>
      <w:r>
        <w:rPr>
          <w:rFonts w:ascii="Arial" w:hAnsi="Arial" w:cs="Arial"/>
          <w:color w:val="000000"/>
        </w:rPr>
        <w:t>janvier 2017</w:t>
      </w:r>
    </w:p>
    <w:p w14:paraId="54648957"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2FF5B27C"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7FCD1DC1" w14:textId="77777777" w:rsidR="00423CD5" w:rsidRDefault="00423CD5" w:rsidP="00423CD5">
      <w:pPr>
        <w:widowControl w:val="0"/>
        <w:autoSpaceDE w:val="0"/>
        <w:autoSpaceDN w:val="0"/>
        <w:adjustRightInd w:val="0"/>
        <w:spacing w:after="0" w:line="240" w:lineRule="auto"/>
        <w:rPr>
          <w:rFonts w:ascii="Arial" w:hAnsi="Arial" w:cs="Arial"/>
          <w:color w:val="000000"/>
          <w:sz w:val="10"/>
          <w:szCs w:val="10"/>
        </w:rPr>
      </w:pPr>
    </w:p>
    <w:p w14:paraId="7AFB65BA" w14:textId="77777777" w:rsidR="00423CD5" w:rsidRDefault="00423CD5" w:rsidP="00423CD5">
      <w:pPr>
        <w:widowControl w:val="0"/>
        <w:tabs>
          <w:tab w:val="left" w:pos="56"/>
          <w:tab w:val="left" w:pos="2688"/>
        </w:tabs>
        <w:autoSpaceDE w:val="0"/>
        <w:autoSpaceDN w:val="0"/>
        <w:adjustRightInd w:val="0"/>
        <w:spacing w:after="0" w:line="240" w:lineRule="auto"/>
        <w:rPr>
          <w:rFonts w:ascii="Arial" w:hAnsi="Arial" w:cs="Arial"/>
          <w:color w:val="000000"/>
        </w:rPr>
      </w:pPr>
      <w:r>
        <w:rPr>
          <w:rFonts w:ascii="Times New Roman" w:hAnsi="Times New Roman"/>
          <w:sz w:val="24"/>
          <w:szCs w:val="24"/>
        </w:rPr>
        <w:tab/>
      </w:r>
      <w:r>
        <w:rPr>
          <w:rFonts w:ascii="Arial" w:hAnsi="Arial" w:cs="Arial"/>
          <w:b/>
          <w:bCs/>
          <w:color w:val="000000"/>
        </w:rPr>
        <w:t xml:space="preserve">Année d'étude : </w:t>
      </w:r>
      <w:r>
        <w:rPr>
          <w:rFonts w:ascii="Times New Roman" w:hAnsi="Times New Roman"/>
          <w:sz w:val="24"/>
          <w:szCs w:val="24"/>
        </w:rPr>
        <w:tab/>
        <w:t xml:space="preserve">Licence </w:t>
      </w:r>
      <w:r>
        <w:rPr>
          <w:rFonts w:ascii="Times New Roman" w:hAnsi="Times New Roman"/>
          <w:sz w:val="24"/>
          <w:szCs w:val="24"/>
        </w:rPr>
        <w:t>2</w:t>
      </w:r>
      <w:r w:rsidR="00C611D7">
        <w:rPr>
          <w:rFonts w:ascii="Times New Roman" w:hAnsi="Times New Roman"/>
          <w:sz w:val="24"/>
          <w:szCs w:val="24"/>
        </w:rPr>
        <w:t xml:space="preserve"> – </w:t>
      </w:r>
      <w:proofErr w:type="spellStart"/>
      <w:r w:rsidR="00C611D7">
        <w:rPr>
          <w:rFonts w:ascii="Times New Roman" w:hAnsi="Times New Roman"/>
          <w:sz w:val="24"/>
          <w:szCs w:val="24"/>
        </w:rPr>
        <w:t>Equipe</w:t>
      </w:r>
      <w:proofErr w:type="spellEnd"/>
      <w:r w:rsidR="00C611D7">
        <w:rPr>
          <w:rFonts w:ascii="Times New Roman" w:hAnsi="Times New Roman"/>
          <w:sz w:val="24"/>
          <w:szCs w:val="24"/>
        </w:rPr>
        <w:t xml:space="preserve"> 1</w:t>
      </w:r>
      <w:bookmarkStart w:id="0" w:name="_GoBack"/>
      <w:bookmarkEnd w:id="0"/>
    </w:p>
    <w:p w14:paraId="197A9113"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0E1C4D2A"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6EC8EDC4" w14:textId="77777777" w:rsidR="00423CD5" w:rsidRDefault="00423CD5" w:rsidP="00423CD5">
      <w:pPr>
        <w:widowControl w:val="0"/>
        <w:autoSpaceDE w:val="0"/>
        <w:autoSpaceDN w:val="0"/>
        <w:adjustRightInd w:val="0"/>
        <w:spacing w:after="0" w:line="240" w:lineRule="auto"/>
        <w:rPr>
          <w:rFonts w:ascii="Arial" w:hAnsi="Arial" w:cs="Arial"/>
          <w:color w:val="000000"/>
          <w:sz w:val="12"/>
          <w:szCs w:val="12"/>
        </w:rPr>
      </w:pPr>
    </w:p>
    <w:p w14:paraId="2D566A2C" w14:textId="77777777" w:rsidR="00423CD5" w:rsidRDefault="00423CD5" w:rsidP="00423CD5">
      <w:pPr>
        <w:widowControl w:val="0"/>
        <w:tabs>
          <w:tab w:val="left" w:pos="56"/>
          <w:tab w:val="left" w:pos="2688"/>
        </w:tabs>
        <w:autoSpaceDE w:val="0"/>
        <w:autoSpaceDN w:val="0"/>
        <w:adjustRightInd w:val="0"/>
        <w:spacing w:after="0" w:line="240" w:lineRule="auto"/>
        <w:rPr>
          <w:rFonts w:ascii="Times New Roman" w:hAnsi="Times New Roman"/>
          <w:b/>
          <w:bCs/>
          <w:i/>
          <w:iCs/>
          <w:color w:val="000000"/>
        </w:rPr>
      </w:pPr>
      <w:r>
        <w:rPr>
          <w:rFonts w:ascii="Times New Roman" w:hAnsi="Times New Roman"/>
          <w:sz w:val="24"/>
          <w:szCs w:val="24"/>
        </w:rPr>
        <w:tab/>
      </w:r>
      <w:r>
        <w:rPr>
          <w:rFonts w:ascii="Arial" w:hAnsi="Arial" w:cs="Arial"/>
          <w:b/>
          <w:bCs/>
          <w:color w:val="000000"/>
        </w:rPr>
        <w:t xml:space="preserve">Discipline : </w:t>
      </w:r>
      <w:r>
        <w:rPr>
          <w:rFonts w:ascii="Times New Roman" w:hAnsi="Times New Roman"/>
          <w:sz w:val="24"/>
          <w:szCs w:val="24"/>
        </w:rPr>
        <w:tab/>
      </w:r>
      <w:r>
        <w:rPr>
          <w:rFonts w:ascii="Times New Roman" w:hAnsi="Times New Roman"/>
          <w:sz w:val="24"/>
          <w:szCs w:val="24"/>
        </w:rPr>
        <w:t>Droit des obligations</w:t>
      </w:r>
    </w:p>
    <w:p w14:paraId="6733D819" w14:textId="77777777" w:rsidR="00423CD5" w:rsidRDefault="00423CD5" w:rsidP="00423CD5">
      <w:pPr>
        <w:widowControl w:val="0"/>
        <w:autoSpaceDE w:val="0"/>
        <w:autoSpaceDN w:val="0"/>
        <w:adjustRightInd w:val="0"/>
        <w:spacing w:after="0" w:line="240" w:lineRule="auto"/>
        <w:rPr>
          <w:rFonts w:ascii="Times New Roman" w:hAnsi="Times New Roman"/>
          <w:b/>
          <w:bCs/>
          <w:i/>
          <w:iCs/>
          <w:color w:val="000000"/>
          <w:sz w:val="8"/>
          <w:szCs w:val="8"/>
        </w:rPr>
      </w:pPr>
    </w:p>
    <w:p w14:paraId="4AF6272D" w14:textId="77777777" w:rsidR="00423CD5" w:rsidRDefault="00423CD5" w:rsidP="00423CD5">
      <w:pPr>
        <w:widowControl w:val="0"/>
        <w:tabs>
          <w:tab w:val="left" w:pos="2688"/>
        </w:tabs>
        <w:autoSpaceDE w:val="0"/>
        <w:autoSpaceDN w:val="0"/>
        <w:adjustRightInd w:val="0"/>
        <w:spacing w:after="0" w:line="240" w:lineRule="auto"/>
        <w:rPr>
          <w:rFonts w:ascii="Arial" w:hAnsi="Arial" w:cs="Arial"/>
          <w:color w:val="000000"/>
          <w:sz w:val="16"/>
          <w:szCs w:val="16"/>
        </w:rPr>
      </w:pPr>
      <w:r>
        <w:rPr>
          <w:rFonts w:ascii="Times New Roman" w:hAnsi="Times New Roman"/>
          <w:sz w:val="24"/>
          <w:szCs w:val="24"/>
        </w:rPr>
        <w:tab/>
      </w:r>
    </w:p>
    <w:p w14:paraId="6049B8FF"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074AEBB4" w14:textId="77777777" w:rsidR="00423CD5" w:rsidRDefault="00423CD5" w:rsidP="00423CD5">
      <w:pPr>
        <w:widowControl w:val="0"/>
        <w:autoSpaceDE w:val="0"/>
        <w:autoSpaceDN w:val="0"/>
        <w:adjustRightInd w:val="0"/>
        <w:spacing w:after="0" w:line="240" w:lineRule="auto"/>
        <w:rPr>
          <w:rFonts w:ascii="Arial" w:hAnsi="Arial" w:cs="Arial"/>
          <w:color w:val="000000"/>
          <w:sz w:val="15"/>
          <w:szCs w:val="15"/>
        </w:rPr>
      </w:pPr>
    </w:p>
    <w:p w14:paraId="6040FC6E"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rPr>
      </w:pPr>
      <w:r>
        <w:rPr>
          <w:rFonts w:ascii="Times New Roman" w:hAnsi="Times New Roman"/>
          <w:sz w:val="24"/>
          <w:szCs w:val="24"/>
        </w:rPr>
        <w:tab/>
      </w:r>
      <w:r>
        <w:rPr>
          <w:rFonts w:ascii="Arial" w:hAnsi="Arial" w:cs="Arial"/>
          <w:b/>
          <w:bCs/>
          <w:color w:val="000000"/>
        </w:rPr>
        <w:t xml:space="preserve">Titulaire(s) du cours : </w:t>
      </w:r>
      <w:r>
        <w:rPr>
          <w:rFonts w:ascii="Arial" w:hAnsi="Arial" w:cs="Arial"/>
          <w:b/>
          <w:bCs/>
          <w:color w:val="000000"/>
        </w:rPr>
        <w:tab/>
      </w:r>
      <w:r w:rsidRPr="001B4162">
        <w:rPr>
          <w:rFonts w:ascii="Arial" w:hAnsi="Arial" w:cs="Arial"/>
          <w:bCs/>
          <w:color w:val="000000"/>
        </w:rPr>
        <w:t>Hervé Lécuyer</w:t>
      </w:r>
    </w:p>
    <w:p w14:paraId="3820EFF6" w14:textId="77777777" w:rsidR="00423CD5" w:rsidRDefault="00423CD5" w:rsidP="00423CD5">
      <w:pPr>
        <w:widowControl w:val="0"/>
        <w:autoSpaceDE w:val="0"/>
        <w:autoSpaceDN w:val="0"/>
        <w:adjustRightInd w:val="0"/>
        <w:spacing w:after="0" w:line="240" w:lineRule="auto"/>
        <w:rPr>
          <w:rFonts w:ascii="Arial" w:hAnsi="Arial" w:cs="Arial"/>
          <w:b/>
          <w:bCs/>
          <w:color w:val="000000"/>
          <w:sz w:val="10"/>
          <w:szCs w:val="10"/>
        </w:rPr>
      </w:pPr>
    </w:p>
    <w:p w14:paraId="62A28EB3" w14:textId="77777777" w:rsidR="00423CD5" w:rsidRDefault="00423CD5" w:rsidP="00423CD5">
      <w:pPr>
        <w:widowControl w:val="0"/>
        <w:tabs>
          <w:tab w:val="left" w:pos="2509"/>
        </w:tabs>
        <w:autoSpaceDE w:val="0"/>
        <w:autoSpaceDN w:val="0"/>
        <w:adjustRightInd w:val="0"/>
        <w:spacing w:after="0" w:line="240" w:lineRule="auto"/>
        <w:rPr>
          <w:rFonts w:ascii="Arial" w:hAnsi="Arial" w:cs="Arial"/>
          <w:color w:val="000000"/>
        </w:rPr>
      </w:pPr>
      <w:r>
        <w:rPr>
          <w:rFonts w:ascii="Times New Roman" w:hAnsi="Times New Roman"/>
          <w:sz w:val="24"/>
          <w:szCs w:val="24"/>
        </w:rPr>
        <w:tab/>
      </w:r>
    </w:p>
    <w:p w14:paraId="11495D2B" w14:textId="77777777" w:rsidR="00423CD5" w:rsidRDefault="00423CD5" w:rsidP="00423CD5">
      <w:pPr>
        <w:widowControl w:val="0"/>
        <w:autoSpaceDE w:val="0"/>
        <w:autoSpaceDN w:val="0"/>
        <w:adjustRightInd w:val="0"/>
        <w:spacing w:after="0" w:line="240" w:lineRule="auto"/>
        <w:rPr>
          <w:rFonts w:ascii="Arial" w:hAnsi="Arial" w:cs="Arial"/>
          <w:color w:val="000000"/>
          <w:sz w:val="20"/>
          <w:szCs w:val="20"/>
        </w:rPr>
      </w:pPr>
    </w:p>
    <w:p w14:paraId="468802ED" w14:textId="77777777" w:rsidR="00423CD5" w:rsidRDefault="00423CD5" w:rsidP="00423CD5">
      <w:pPr>
        <w:widowControl w:val="0"/>
        <w:autoSpaceDE w:val="0"/>
        <w:autoSpaceDN w:val="0"/>
        <w:adjustRightInd w:val="0"/>
        <w:spacing w:after="0" w:line="240" w:lineRule="auto"/>
        <w:rPr>
          <w:rFonts w:ascii="Arial" w:hAnsi="Arial" w:cs="Arial"/>
          <w:color w:val="000000"/>
          <w:sz w:val="12"/>
          <w:szCs w:val="12"/>
        </w:rPr>
      </w:pPr>
    </w:p>
    <w:p w14:paraId="6AE522CD"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rPr>
      </w:pPr>
      <w:r>
        <w:rPr>
          <w:rFonts w:ascii="Times New Roman" w:hAnsi="Times New Roman"/>
          <w:sz w:val="24"/>
          <w:szCs w:val="24"/>
        </w:rPr>
        <w:tab/>
      </w:r>
      <w:r>
        <w:rPr>
          <w:rFonts w:ascii="Arial" w:hAnsi="Arial" w:cs="Arial"/>
          <w:b/>
          <w:bCs/>
          <w:color w:val="000000"/>
        </w:rPr>
        <w:t xml:space="preserve">Document autorisé : Code civil </w:t>
      </w:r>
    </w:p>
    <w:p w14:paraId="7374F11B"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rPr>
      </w:pPr>
    </w:p>
    <w:p w14:paraId="68528288"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rPr>
      </w:pPr>
    </w:p>
    <w:p w14:paraId="406680A2"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rPr>
      </w:pPr>
    </w:p>
    <w:p w14:paraId="3761AFE7"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rPr>
      </w:pPr>
    </w:p>
    <w:p w14:paraId="39A5FDB8"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u w:val="single"/>
        </w:rPr>
      </w:pPr>
      <w:r>
        <w:rPr>
          <w:rFonts w:ascii="Arial" w:hAnsi="Arial" w:cs="Arial"/>
          <w:b/>
          <w:bCs/>
          <w:color w:val="000000"/>
          <w:u w:val="single"/>
        </w:rPr>
        <w:t>SUJET</w:t>
      </w:r>
    </w:p>
    <w:p w14:paraId="30035CA7" w14:textId="77777777" w:rsidR="00423CD5" w:rsidRDefault="00423CD5" w:rsidP="00423CD5">
      <w:pPr>
        <w:widowControl w:val="0"/>
        <w:tabs>
          <w:tab w:val="left" w:pos="56"/>
        </w:tabs>
        <w:autoSpaceDE w:val="0"/>
        <w:autoSpaceDN w:val="0"/>
        <w:adjustRightInd w:val="0"/>
        <w:spacing w:after="0" w:line="240" w:lineRule="auto"/>
        <w:rPr>
          <w:rFonts w:ascii="Arial" w:hAnsi="Arial" w:cs="Arial"/>
          <w:b/>
          <w:bCs/>
          <w:color w:val="000000"/>
          <w:u w:val="single"/>
        </w:rPr>
      </w:pPr>
    </w:p>
    <w:p w14:paraId="0C064039"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r>
        <w:rPr>
          <w:rFonts w:ascii="Arial" w:hAnsi="Arial" w:cs="Arial"/>
          <w:bCs/>
          <w:color w:val="000000"/>
        </w:rPr>
        <w:t xml:space="preserve">Traitez, au choix, l’un des deux sujets suivants : </w:t>
      </w:r>
    </w:p>
    <w:p w14:paraId="66DA7E1B"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p>
    <w:p w14:paraId="6724C2E0"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p>
    <w:p w14:paraId="0854E8E4" w14:textId="77777777" w:rsidR="00423CD5" w:rsidRPr="001B4162" w:rsidRDefault="00423CD5" w:rsidP="00423CD5">
      <w:pPr>
        <w:widowControl w:val="0"/>
        <w:tabs>
          <w:tab w:val="left" w:pos="56"/>
        </w:tabs>
        <w:autoSpaceDE w:val="0"/>
        <w:autoSpaceDN w:val="0"/>
        <w:adjustRightInd w:val="0"/>
        <w:spacing w:after="0" w:line="240" w:lineRule="auto"/>
        <w:rPr>
          <w:rFonts w:ascii="Arial" w:hAnsi="Arial" w:cs="Arial"/>
          <w:bCs/>
          <w:color w:val="000000"/>
        </w:rPr>
      </w:pPr>
    </w:p>
    <w:p w14:paraId="3C771A51"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r>
        <w:rPr>
          <w:rFonts w:ascii="Arial" w:hAnsi="Arial" w:cs="Arial"/>
          <w:bCs/>
          <w:color w:val="000000"/>
        </w:rPr>
        <w:t>1°-</w:t>
      </w:r>
      <w:r>
        <w:rPr>
          <w:rFonts w:ascii="Arial" w:hAnsi="Arial" w:cs="Arial"/>
          <w:bCs/>
          <w:color w:val="000000"/>
        </w:rPr>
        <w:tab/>
        <w:t xml:space="preserve">Dissertation : </w:t>
      </w:r>
      <w:r>
        <w:rPr>
          <w:rFonts w:ascii="Arial" w:hAnsi="Arial" w:cs="Arial"/>
          <w:bCs/>
          <w:color w:val="000000"/>
        </w:rPr>
        <w:t>Formation du contrat et équilibre contractuel</w:t>
      </w:r>
      <w:r>
        <w:rPr>
          <w:rFonts w:ascii="Arial" w:hAnsi="Arial" w:cs="Arial"/>
          <w:bCs/>
          <w:color w:val="000000"/>
        </w:rPr>
        <w:t xml:space="preserve"> </w:t>
      </w:r>
    </w:p>
    <w:p w14:paraId="403964B3"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p>
    <w:p w14:paraId="74D9079B"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r>
        <w:rPr>
          <w:rFonts w:ascii="Arial" w:hAnsi="Arial" w:cs="Arial"/>
          <w:bCs/>
          <w:color w:val="000000"/>
        </w:rPr>
        <w:t>2°-</w:t>
      </w:r>
      <w:r>
        <w:rPr>
          <w:rFonts w:ascii="Arial" w:hAnsi="Arial" w:cs="Arial"/>
          <w:bCs/>
          <w:color w:val="000000"/>
        </w:rPr>
        <w:tab/>
      </w:r>
      <w:r>
        <w:rPr>
          <w:rFonts w:ascii="Arial" w:hAnsi="Arial" w:cs="Arial"/>
          <w:bCs/>
          <w:color w:val="000000"/>
        </w:rPr>
        <w:t>Commentaire d’arrêt </w:t>
      </w:r>
      <w:r>
        <w:rPr>
          <w:rFonts w:ascii="Arial" w:hAnsi="Arial" w:cs="Arial"/>
          <w:bCs/>
          <w:color w:val="000000"/>
        </w:rPr>
        <w:t xml:space="preserve">: </w:t>
      </w:r>
      <w:r>
        <w:rPr>
          <w:rFonts w:ascii="Arial" w:hAnsi="Arial" w:cs="Arial"/>
          <w:bCs/>
          <w:color w:val="000000"/>
        </w:rPr>
        <w:t>commentez l’arrêt rendu par la 1</w:t>
      </w:r>
      <w:r w:rsidRPr="00423CD5">
        <w:rPr>
          <w:rFonts w:ascii="Arial" w:hAnsi="Arial" w:cs="Arial"/>
          <w:bCs/>
          <w:color w:val="000000"/>
          <w:vertAlign w:val="superscript"/>
        </w:rPr>
        <w:t>re</w:t>
      </w:r>
      <w:r>
        <w:rPr>
          <w:rFonts w:ascii="Arial" w:hAnsi="Arial" w:cs="Arial"/>
          <w:bCs/>
          <w:color w:val="000000"/>
        </w:rPr>
        <w:t xml:space="preserve"> chambre civile de la Cour de cassation, le 3 avril 2002. </w:t>
      </w:r>
    </w:p>
    <w:p w14:paraId="4505CAAE"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p>
    <w:p w14:paraId="0A3D5B58" w14:textId="77777777" w:rsidR="00423CD5" w:rsidRDefault="00423CD5" w:rsidP="00423CD5">
      <w:pPr>
        <w:widowControl w:val="0"/>
        <w:tabs>
          <w:tab w:val="left" w:pos="56"/>
        </w:tabs>
        <w:autoSpaceDE w:val="0"/>
        <w:autoSpaceDN w:val="0"/>
        <w:adjustRightInd w:val="0"/>
        <w:spacing w:after="0" w:line="240" w:lineRule="auto"/>
        <w:rPr>
          <w:rFonts w:ascii="Arial" w:hAnsi="Arial" w:cs="Arial"/>
          <w:bCs/>
          <w:color w:val="000000"/>
        </w:rPr>
      </w:pPr>
    </w:p>
    <w:p w14:paraId="6EE5E22F" w14:textId="77777777" w:rsidR="00423CD5" w:rsidRPr="00BF1EEB" w:rsidRDefault="00423CD5" w:rsidP="00423CD5">
      <w:pPr>
        <w:widowControl w:val="0"/>
        <w:autoSpaceDE w:val="0"/>
        <w:autoSpaceDN w:val="0"/>
        <w:adjustRightInd w:val="0"/>
        <w:jc w:val="both"/>
        <w:rPr>
          <w:rFonts w:ascii="Garamond" w:hAnsi="Garamond" w:cs="Arial"/>
        </w:rPr>
      </w:pPr>
      <w:r w:rsidRPr="00BF1EEB">
        <w:rPr>
          <w:rFonts w:ascii="Garamond" w:hAnsi="Garamond" w:cs="Arial"/>
          <w:color w:val="262626"/>
        </w:rPr>
        <w:t>Sur le premier moyen, pris en sa première branche :</w:t>
      </w:r>
    </w:p>
    <w:p w14:paraId="04230D27" w14:textId="77777777" w:rsidR="00423CD5" w:rsidRPr="00BF1EEB" w:rsidRDefault="00423CD5" w:rsidP="00423CD5">
      <w:pPr>
        <w:widowControl w:val="0"/>
        <w:autoSpaceDE w:val="0"/>
        <w:autoSpaceDN w:val="0"/>
        <w:adjustRightInd w:val="0"/>
        <w:jc w:val="both"/>
        <w:rPr>
          <w:rFonts w:ascii="Garamond" w:hAnsi="Garamond" w:cs="Arial"/>
        </w:rPr>
      </w:pPr>
      <w:r w:rsidRPr="00BF1EEB">
        <w:rPr>
          <w:rFonts w:ascii="Garamond" w:hAnsi="Garamond" w:cs="Arial"/>
          <w:color w:val="262626"/>
        </w:rPr>
        <w:t>Vu l'article 1112 du Code civil ;</w:t>
      </w:r>
    </w:p>
    <w:p w14:paraId="4FBC502F" w14:textId="77777777" w:rsidR="00423CD5" w:rsidRPr="00BF1EEB" w:rsidRDefault="00423CD5" w:rsidP="00423CD5">
      <w:pPr>
        <w:widowControl w:val="0"/>
        <w:autoSpaceDE w:val="0"/>
        <w:autoSpaceDN w:val="0"/>
        <w:adjustRightInd w:val="0"/>
        <w:jc w:val="both"/>
        <w:rPr>
          <w:rFonts w:ascii="Garamond" w:hAnsi="Garamond" w:cs="Arial"/>
        </w:rPr>
      </w:pPr>
      <w:r w:rsidRPr="00BF1EEB">
        <w:rPr>
          <w:rFonts w:ascii="Garamond" w:hAnsi="Garamond" w:cs="Arial"/>
          <w:color w:val="262626"/>
        </w:rPr>
        <w:t xml:space="preserve">Attendu que Mme X... était collaboratrice puis rédactrice salariée de la société Larousse-Bordas depuis 1972 ; que selon une convention à titre onéreux en date du 21 juin 1984, elle a reconnu la propriété de son employeur sur tous les droits d'exploitation d'un dictionnaire intitulé " Mini débutants " à la mise au point duquel elle avait fourni dans le cadre de son contrat de travail une activité supplémentaire ; que, devenue " directeur éditorial langue française " au terme de sa carrière poursuivie dans l'entreprise, elle en a été licenciée en 1996 ; que, en 1997, elle a assigné la société Larousse-Bordas en nullité de la cession sus-évoquée pour </w:t>
      </w:r>
      <w:r w:rsidRPr="00BF1EEB">
        <w:rPr>
          <w:rFonts w:ascii="Garamond" w:hAnsi="Garamond" w:cs="Arial"/>
          <w:b/>
          <w:bCs/>
          <w:color w:val="262626"/>
        </w:rPr>
        <w:t>violence</w:t>
      </w:r>
      <w:r w:rsidRPr="00BF1EEB">
        <w:rPr>
          <w:rFonts w:ascii="Garamond" w:hAnsi="Garamond" w:cs="Arial"/>
          <w:color w:val="262626"/>
        </w:rPr>
        <w:t xml:space="preserve"> ayant alors vicié son consentement, interdiction de poursuite de l'exploitation de l'ouvrage et recherche par expert des rémunérations dont elle avait été privée ;</w:t>
      </w:r>
    </w:p>
    <w:p w14:paraId="065CEBB3" w14:textId="77777777" w:rsidR="00423CD5" w:rsidRPr="00BF1EEB" w:rsidRDefault="00423CD5" w:rsidP="00423CD5">
      <w:pPr>
        <w:widowControl w:val="0"/>
        <w:autoSpaceDE w:val="0"/>
        <w:autoSpaceDN w:val="0"/>
        <w:adjustRightInd w:val="0"/>
        <w:jc w:val="both"/>
        <w:rPr>
          <w:rFonts w:ascii="Garamond" w:hAnsi="Garamond" w:cs="Arial"/>
        </w:rPr>
      </w:pPr>
      <w:r w:rsidRPr="00BF1EEB">
        <w:rPr>
          <w:rFonts w:ascii="Garamond" w:hAnsi="Garamond" w:cs="Arial"/>
          <w:color w:val="262626"/>
        </w:rPr>
        <w:t xml:space="preserve">Attendu que, pour accueillir ces demandes, l'arrêt retient qu'en 1984, son statut salarial plaçait Mme X... en situation de dépendance économique par rapport à la société </w:t>
      </w:r>
      <w:proofErr w:type="spellStart"/>
      <w:r w:rsidRPr="00BF1EEB">
        <w:rPr>
          <w:rFonts w:ascii="Garamond" w:hAnsi="Garamond" w:cs="Arial"/>
          <w:color w:val="262626"/>
        </w:rPr>
        <w:t>Editions</w:t>
      </w:r>
      <w:proofErr w:type="spellEnd"/>
      <w:r w:rsidRPr="00BF1EEB">
        <w:rPr>
          <w:rFonts w:ascii="Garamond" w:hAnsi="Garamond" w:cs="Arial"/>
          <w:color w:val="262626"/>
        </w:rPr>
        <w:t xml:space="preserve"> Larousse, la contraignant d'accepter la convention sans pouvoir en réfuter ceux des termes qu'elle estimait contraires tant à ses intérêts personnels qu'aux dispositions protectrices des droits d'auteur ; que leur refus par elle aurait nécessairement fragilisé sa </w:t>
      </w:r>
      <w:r w:rsidRPr="00BF1EEB">
        <w:rPr>
          <w:rFonts w:ascii="Garamond" w:hAnsi="Garamond" w:cs="Arial"/>
          <w:color w:val="262626"/>
        </w:rPr>
        <w:lastRenderedPageBreak/>
        <w:t>situation, eu égard au risque réel et sérieux de licenciement inhérent à l'époque au contexte social de l'entreprise, une coupure de presse d'août 1984 révélant d'ailleurs la perspective d'une compression de personnel en son sein, même si son employeur ne lui avait jamais adressé de menaces précises à cet égard ; que de plus l'obligation de loyauté envers celui-ci ne lui permettait pas, sans risque pour son emploi, de proposer son manuscrit à un éditeur concurrent ; que cette crainte de perdre son travail, influençant son consentement, ne l'avait pas laissée discuter les conditions de cession de ses droits d'auteur comme elle aurait pu le faire si elle n'avait pas été en rapport de subordination avec son cocontractant, ce lien n'ayant cessé qu'avec son licenciement ultérieur ;</w:t>
      </w:r>
    </w:p>
    <w:p w14:paraId="35CAF696" w14:textId="77777777" w:rsidR="00423CD5" w:rsidRPr="00BF1EEB" w:rsidRDefault="00423CD5" w:rsidP="00423CD5">
      <w:pPr>
        <w:widowControl w:val="0"/>
        <w:autoSpaceDE w:val="0"/>
        <w:autoSpaceDN w:val="0"/>
        <w:adjustRightInd w:val="0"/>
        <w:jc w:val="both"/>
        <w:rPr>
          <w:rFonts w:ascii="Garamond" w:hAnsi="Garamond" w:cs="Arial"/>
        </w:rPr>
      </w:pPr>
      <w:r w:rsidRPr="00BF1EEB">
        <w:rPr>
          <w:rFonts w:ascii="Garamond" w:hAnsi="Garamond" w:cs="Arial"/>
          <w:color w:val="262626"/>
        </w:rPr>
        <w:t xml:space="preserve">Attendu, cependant, que seule l'exploitation abusive d'une situation de dépendance économique, faite pour tirer profit de la crainte d'un mal menaçant directement les intérêts légitimes de la personne, peut vicier de </w:t>
      </w:r>
      <w:r w:rsidRPr="00BF1EEB">
        <w:rPr>
          <w:rFonts w:ascii="Garamond" w:hAnsi="Garamond" w:cs="Arial"/>
          <w:b/>
          <w:bCs/>
          <w:color w:val="262626"/>
        </w:rPr>
        <w:t>violence</w:t>
      </w:r>
      <w:r w:rsidRPr="00BF1EEB">
        <w:rPr>
          <w:rFonts w:ascii="Garamond" w:hAnsi="Garamond" w:cs="Arial"/>
          <w:color w:val="262626"/>
        </w:rPr>
        <w:t xml:space="preserve"> son consentement ; qu'en se déterminant comme elle l'a fait, sans constater, que lors de la cession, Mme X... était elle-même menacée par le plan de licenciement et que l'employeur avait exploité auprès d'elle cette circonstance pour la convaincre, la cour d'appel n'a pas donné de base légale à sa décision ;</w:t>
      </w:r>
    </w:p>
    <w:p w14:paraId="4662BA0C" w14:textId="77777777" w:rsidR="00423CD5" w:rsidRPr="00BF1EEB" w:rsidRDefault="00423CD5" w:rsidP="00423CD5">
      <w:pPr>
        <w:widowControl w:val="0"/>
        <w:autoSpaceDE w:val="0"/>
        <w:autoSpaceDN w:val="0"/>
        <w:adjustRightInd w:val="0"/>
        <w:jc w:val="both"/>
        <w:rPr>
          <w:rFonts w:ascii="Garamond" w:hAnsi="Garamond" w:cs="Arial"/>
        </w:rPr>
      </w:pPr>
      <w:r w:rsidRPr="00BF1EEB">
        <w:rPr>
          <w:rFonts w:ascii="Garamond" w:hAnsi="Garamond" w:cs="Arial"/>
          <w:color w:val="262626"/>
        </w:rPr>
        <w:t>Par ces motifs, et sans qu'il soit besoin de statuer sur la seconde branche du premier moyen, ni sur le second moyen :</w:t>
      </w:r>
    </w:p>
    <w:p w14:paraId="54884B3B" w14:textId="77777777" w:rsidR="00423CD5" w:rsidRPr="00BF1EEB" w:rsidRDefault="00423CD5" w:rsidP="00423CD5">
      <w:pPr>
        <w:jc w:val="both"/>
        <w:rPr>
          <w:rFonts w:ascii="Garamond" w:hAnsi="Garamond"/>
        </w:rPr>
      </w:pPr>
      <w:r w:rsidRPr="00BF1EEB">
        <w:rPr>
          <w:rFonts w:ascii="Garamond" w:hAnsi="Garamond" w:cs="Arial"/>
          <w:color w:val="262626"/>
        </w:rPr>
        <w:t>CASSE ET ANNULE, dans toutes ses dispositions, l'arrêt rendu le 12 janvier 2000, entre les parties, par la cour d'appel de Paris ; remet, en conséquence, la cause et les parties dans l'état où elles se trouvaient avant ledit arrêt et, pour être fait droit, les renvoie devant la cour d'appel de Versailles.</w:t>
      </w:r>
    </w:p>
    <w:p w14:paraId="0BBAED5B" w14:textId="77777777" w:rsidR="00450DB8" w:rsidRDefault="00450DB8"/>
    <w:sectPr w:rsidR="00450DB8">
      <w:pgSz w:w="11907" w:h="16839"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D5"/>
    <w:rsid w:val="00423CD5"/>
    <w:rsid w:val="00450DB8"/>
    <w:rsid w:val="00C611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7EC0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D5"/>
    <w:pPr>
      <w:spacing w:after="200" w:line="276" w:lineRule="auto"/>
    </w:pPr>
    <w:rPr>
      <w:rFonts w:cs="Times New Roman"/>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D5"/>
    <w:pPr>
      <w:spacing w:after="200" w:line="276" w:lineRule="auto"/>
    </w:pPr>
    <w:rPr>
      <w:rFonts w:cs="Times New Roman"/>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3080</Characters>
  <Application>Microsoft Macintosh Word</Application>
  <DocSecurity>0</DocSecurity>
  <Lines>65</Lines>
  <Paragraphs>17</Paragraphs>
  <ScaleCrop>false</ScaleCrop>
  <Company>université Paris 2</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Lécuyer</dc:creator>
  <cp:keywords/>
  <dc:description/>
  <cp:lastModifiedBy>Hervé Lécuyer</cp:lastModifiedBy>
  <cp:revision>2</cp:revision>
  <dcterms:created xsi:type="dcterms:W3CDTF">2017-01-02T10:59:00Z</dcterms:created>
  <dcterms:modified xsi:type="dcterms:W3CDTF">2017-01-02T11:04:00Z</dcterms:modified>
</cp:coreProperties>
</file>